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D1" w:rsidRPr="00297C5B" w:rsidRDefault="00667DB0" w:rsidP="00297C5B">
      <w:pPr>
        <w:spacing w:line="276" w:lineRule="auto"/>
        <w:rPr>
          <w:sz w:val="28"/>
          <w:szCs w:val="28"/>
        </w:rPr>
      </w:pPr>
      <w:r w:rsidRPr="00297C5B">
        <w:rPr>
          <w:sz w:val="28"/>
          <w:szCs w:val="28"/>
        </w:rPr>
        <w:t>H</w:t>
      </w:r>
      <w:r w:rsidR="00297C5B" w:rsidRPr="00297C5B">
        <w:rPr>
          <w:sz w:val="28"/>
          <w:szCs w:val="28"/>
        </w:rPr>
        <w:t>omöopathie in der Intensiv- und Notfallmedizin</w:t>
      </w:r>
    </w:p>
    <w:p w:rsidR="00667DB0" w:rsidRPr="00297C5B" w:rsidRDefault="00667DB0" w:rsidP="00297C5B">
      <w:pPr>
        <w:spacing w:line="276" w:lineRule="auto"/>
        <w:rPr>
          <w:sz w:val="28"/>
          <w:szCs w:val="28"/>
        </w:rPr>
      </w:pPr>
    </w:p>
    <w:p w:rsidR="00525C78" w:rsidRPr="00525C78" w:rsidRDefault="00525C78" w:rsidP="00525C78">
      <w:pPr>
        <w:spacing w:line="276" w:lineRule="auto"/>
        <w:rPr>
          <w:sz w:val="28"/>
          <w:szCs w:val="28"/>
        </w:rPr>
      </w:pPr>
      <w:r w:rsidRPr="00525C78">
        <w:rPr>
          <w:sz w:val="28"/>
          <w:szCs w:val="28"/>
        </w:rPr>
        <w:t>Sechs Kritiker der Homöopathie haben dieses Buch bei Amazon besonders schlecht beurteilt, man könnte auch sagen: gehässig, was zu der aktuellen Kampagne gegen die Homöopathie passt. Auffällig ist, dass drei dieser sogenannten Rezensenten, das Buch ohne „verifizierten Kauf“ an ein und demselben Tag verrissen haben. Sie scheinen das Buch nicht gelesen zu haben, sondern verunglimpfen die Homöopathie ganz allgemein und die Herausgeber, die erfahrene Intensiv- und Notfallmediziner sind.</w:t>
      </w:r>
    </w:p>
    <w:p w:rsidR="00DC061C" w:rsidRPr="00297C5B" w:rsidRDefault="00A61521" w:rsidP="00297C5B">
      <w:pPr>
        <w:spacing w:after="0" w:line="276" w:lineRule="auto"/>
        <w:rPr>
          <w:sz w:val="28"/>
          <w:szCs w:val="28"/>
        </w:rPr>
      </w:pPr>
      <w:r w:rsidRPr="00297C5B">
        <w:rPr>
          <w:sz w:val="28"/>
          <w:szCs w:val="28"/>
        </w:rPr>
        <w:t xml:space="preserve">Die rund zwei Dutzend Autoren </w:t>
      </w:r>
      <w:r w:rsidR="00CC542A">
        <w:rPr>
          <w:sz w:val="28"/>
          <w:szCs w:val="28"/>
        </w:rPr>
        <w:t xml:space="preserve">dieses Buches </w:t>
      </w:r>
      <w:r w:rsidRPr="00297C5B">
        <w:rPr>
          <w:sz w:val="28"/>
          <w:szCs w:val="28"/>
        </w:rPr>
        <w:t>beschreiben</w:t>
      </w:r>
      <w:r w:rsidR="00C81420" w:rsidRPr="00297C5B">
        <w:rPr>
          <w:sz w:val="28"/>
          <w:szCs w:val="28"/>
        </w:rPr>
        <w:t xml:space="preserve"> minutiös</w:t>
      </w:r>
      <w:r w:rsidRPr="00667DB0">
        <w:rPr>
          <w:rFonts w:eastAsia="Times New Roman" w:cs="Times New Roman"/>
          <w:sz w:val="28"/>
          <w:szCs w:val="28"/>
          <w:lang w:eastAsia="de-DE"/>
        </w:rPr>
        <w:t xml:space="preserve"> anhand von 145 Fallbeispielen, wie die Homöopathie in der Intensiv- und Notfallmedizin wirkungsvoll eingesetzt werden kann. </w:t>
      </w:r>
      <w:r w:rsidR="00C81420" w:rsidRPr="00297C5B">
        <w:rPr>
          <w:sz w:val="28"/>
          <w:szCs w:val="28"/>
        </w:rPr>
        <w:t>I</w:t>
      </w:r>
      <w:r w:rsidR="00E43114" w:rsidRPr="00297C5B">
        <w:rPr>
          <w:sz w:val="28"/>
          <w:szCs w:val="28"/>
        </w:rPr>
        <w:t>ntensivmedizinische Apparaturen und Medikamente</w:t>
      </w:r>
      <w:r w:rsidR="00C81420" w:rsidRPr="00297C5B">
        <w:rPr>
          <w:sz w:val="28"/>
          <w:szCs w:val="28"/>
        </w:rPr>
        <w:t xml:space="preserve"> wurden fast immer</w:t>
      </w:r>
      <w:r w:rsidR="00E43114" w:rsidRPr="00297C5B">
        <w:rPr>
          <w:sz w:val="28"/>
          <w:szCs w:val="28"/>
        </w:rPr>
        <w:t xml:space="preserve"> eingesetzt, </w:t>
      </w:r>
      <w:r w:rsidR="00C81420" w:rsidRPr="00297C5B">
        <w:rPr>
          <w:sz w:val="28"/>
          <w:szCs w:val="28"/>
        </w:rPr>
        <w:t>ab einem bestimmten Zeitpunkt</w:t>
      </w:r>
      <w:r w:rsidR="00CC542A">
        <w:rPr>
          <w:sz w:val="28"/>
          <w:szCs w:val="28"/>
        </w:rPr>
        <w:t xml:space="preserve"> </w:t>
      </w:r>
      <w:r w:rsidR="00C81420" w:rsidRPr="00297C5B">
        <w:rPr>
          <w:sz w:val="28"/>
          <w:szCs w:val="28"/>
        </w:rPr>
        <w:t>wurde dann</w:t>
      </w:r>
      <w:r w:rsidR="00E43114" w:rsidRPr="00297C5B">
        <w:rPr>
          <w:sz w:val="28"/>
          <w:szCs w:val="28"/>
        </w:rPr>
        <w:t xml:space="preserve"> </w:t>
      </w:r>
      <w:r w:rsidR="00CC542A">
        <w:rPr>
          <w:sz w:val="28"/>
          <w:szCs w:val="28"/>
        </w:rPr>
        <w:t xml:space="preserve">im Verlauf der Behandlung </w:t>
      </w:r>
      <w:r w:rsidR="00E43114" w:rsidRPr="00297C5B">
        <w:rPr>
          <w:sz w:val="28"/>
          <w:szCs w:val="28"/>
        </w:rPr>
        <w:t>die Homöopathie hinzugenommen</w:t>
      </w:r>
      <w:r w:rsidR="00C81420" w:rsidRPr="00297C5B">
        <w:rPr>
          <w:sz w:val="28"/>
          <w:szCs w:val="28"/>
        </w:rPr>
        <w:t>. O</w:t>
      </w:r>
      <w:r w:rsidR="00E43114" w:rsidRPr="00297C5B">
        <w:rPr>
          <w:sz w:val="28"/>
          <w:szCs w:val="28"/>
        </w:rPr>
        <w:t>b und inwiefern das Ergebnis der Heilung eher den konventionellen oder eher den homöopathischen Mitteln zuzuschreiben war</w:t>
      </w:r>
      <w:r w:rsidR="00C81420" w:rsidRPr="00297C5B">
        <w:rPr>
          <w:sz w:val="28"/>
          <w:szCs w:val="28"/>
        </w:rPr>
        <w:t>, wird dann am Ende von jedem Fall beurteilt</w:t>
      </w:r>
      <w:r w:rsidR="00F917A0" w:rsidRPr="00297C5B">
        <w:rPr>
          <w:sz w:val="28"/>
          <w:szCs w:val="28"/>
        </w:rPr>
        <w:t>:</w:t>
      </w:r>
      <w:r w:rsidR="00E43114" w:rsidRPr="00297C5B">
        <w:rPr>
          <w:sz w:val="28"/>
          <w:szCs w:val="28"/>
        </w:rPr>
        <w:t xml:space="preserve"> </w:t>
      </w:r>
      <w:r w:rsidR="00F917A0" w:rsidRPr="00297C5B">
        <w:rPr>
          <w:sz w:val="28"/>
          <w:szCs w:val="28"/>
        </w:rPr>
        <w:t>e</w:t>
      </w:r>
      <w:r w:rsidR="00E43114" w:rsidRPr="00297C5B">
        <w:rPr>
          <w:sz w:val="28"/>
          <w:szCs w:val="28"/>
        </w:rPr>
        <w:t xml:space="preserve">ine selbstkritische Reflexion des Handelns und der Behandlung, wie man sie selten findet. Detailgenau geschildert, - wasserdicht könnte man sagen. </w:t>
      </w:r>
    </w:p>
    <w:p w:rsidR="001751C1" w:rsidRPr="00297C5B" w:rsidRDefault="001751C1" w:rsidP="00297C5B">
      <w:pPr>
        <w:spacing w:after="0" w:line="276" w:lineRule="auto"/>
        <w:rPr>
          <w:rFonts w:eastAsia="Times New Roman" w:cs="Times New Roman"/>
          <w:sz w:val="28"/>
          <w:szCs w:val="28"/>
          <w:lang w:eastAsia="de-DE"/>
        </w:rPr>
      </w:pPr>
    </w:p>
    <w:p w:rsidR="002F0D64" w:rsidRPr="00297C5B" w:rsidRDefault="00DB5944" w:rsidP="00297C5B">
      <w:pPr>
        <w:spacing w:line="276" w:lineRule="auto"/>
        <w:rPr>
          <w:sz w:val="28"/>
          <w:szCs w:val="28"/>
        </w:rPr>
      </w:pPr>
      <w:r w:rsidRPr="00297C5B">
        <w:rPr>
          <w:sz w:val="28"/>
          <w:szCs w:val="28"/>
        </w:rPr>
        <w:t>Für wen nun ist dieses Buch geschrieben? Wenn sich nur homöopathisch interessierte Intensiv- und Notfallmediziner mit dem Buch beschäftigen, wäre das schade. Jeder internistisch oder allgemeinmedizinisch tätige Arzt kann aus dem Buch lernen. Viele altbewährte Mittel trifft man in den Therapieverläufen wieder</w:t>
      </w:r>
      <w:r w:rsidR="001751C1" w:rsidRPr="00297C5B">
        <w:rPr>
          <w:sz w:val="28"/>
          <w:szCs w:val="28"/>
        </w:rPr>
        <w:t xml:space="preserve">. </w:t>
      </w:r>
      <w:r w:rsidRPr="00297C5B">
        <w:rPr>
          <w:sz w:val="28"/>
          <w:szCs w:val="28"/>
        </w:rPr>
        <w:t xml:space="preserve">Die Autoren nehmen uns </w:t>
      </w:r>
      <w:r w:rsidR="001751C1" w:rsidRPr="00297C5B">
        <w:rPr>
          <w:sz w:val="28"/>
          <w:szCs w:val="28"/>
        </w:rPr>
        <w:t xml:space="preserve">gedanklich Schritt für Schritt </w:t>
      </w:r>
      <w:r w:rsidRPr="00297C5B">
        <w:rPr>
          <w:sz w:val="28"/>
          <w:szCs w:val="28"/>
        </w:rPr>
        <w:t xml:space="preserve">mit, ihre </w:t>
      </w:r>
      <w:r w:rsidR="004C0C47" w:rsidRPr="00297C5B">
        <w:rPr>
          <w:sz w:val="28"/>
          <w:szCs w:val="28"/>
        </w:rPr>
        <w:t xml:space="preserve">Entscheidungen und Differenzierungen zwischen den einzelnen Arzneimitteln </w:t>
      </w:r>
      <w:r w:rsidR="001751C1" w:rsidRPr="00297C5B">
        <w:rPr>
          <w:sz w:val="28"/>
          <w:szCs w:val="28"/>
        </w:rPr>
        <w:t xml:space="preserve">nachzuvollziehen und </w:t>
      </w:r>
      <w:r w:rsidR="004C0C47" w:rsidRPr="00297C5B">
        <w:rPr>
          <w:sz w:val="28"/>
          <w:szCs w:val="28"/>
        </w:rPr>
        <w:t xml:space="preserve">zu verstehen. Sehr gut gefällt zu Beginn </w:t>
      </w:r>
      <w:r w:rsidR="00CC542A">
        <w:rPr>
          <w:sz w:val="28"/>
          <w:szCs w:val="28"/>
        </w:rPr>
        <w:t>jedes</w:t>
      </w:r>
      <w:r w:rsidR="004C0C47" w:rsidRPr="00297C5B">
        <w:rPr>
          <w:sz w:val="28"/>
          <w:szCs w:val="28"/>
        </w:rPr>
        <w:t xml:space="preserve"> Kapitels die Beschreibungen der am häufigsten verwendeten Arzneimittel. </w:t>
      </w:r>
      <w:r w:rsidR="001751C1" w:rsidRPr="00297C5B">
        <w:rPr>
          <w:sz w:val="28"/>
          <w:szCs w:val="28"/>
        </w:rPr>
        <w:t xml:space="preserve">Beispiel Lungenembolie: Arsenicum album, Calcium carbonicum, Echinacea (!), Kalium jodatum, Lachesis und Secale cornutum werden zunächst ausführlicher beschrieben. </w:t>
      </w:r>
      <w:r w:rsidR="00DF7B6D" w:rsidRPr="00297C5B">
        <w:rPr>
          <w:sz w:val="28"/>
          <w:szCs w:val="28"/>
        </w:rPr>
        <w:t>Doch die drei Fallbeispiele, die dann folgen, werden mit Spigelia, Pulsatilla und Bryonia alba erfolgreich behandelt. Die homöopathische Anamnese hatte im Bryonia-Fall ein typisches – und eher seltenes Symptom ergeben: Am gesamten Körper warmer Schweiß</w:t>
      </w:r>
      <w:r w:rsidR="00CC542A">
        <w:rPr>
          <w:sz w:val="28"/>
          <w:szCs w:val="28"/>
        </w:rPr>
        <w:t>, d</w:t>
      </w:r>
      <w:r w:rsidR="00DF7B6D" w:rsidRPr="00297C5B">
        <w:rPr>
          <w:sz w:val="28"/>
          <w:szCs w:val="28"/>
        </w:rPr>
        <w:t xml:space="preserve">ie Sprache ist angegriffen, </w:t>
      </w:r>
      <w:r w:rsidR="00DF7B6D" w:rsidRPr="00297C5B">
        <w:rPr>
          <w:sz w:val="28"/>
          <w:szCs w:val="28"/>
        </w:rPr>
        <w:lastRenderedPageBreak/>
        <w:t>undeutlich. Diese Symptome helfen bei der Differenzierung etwa zu Lycop</w:t>
      </w:r>
      <w:r w:rsidR="000450C4">
        <w:rPr>
          <w:sz w:val="28"/>
          <w:szCs w:val="28"/>
        </w:rPr>
        <w:t>o</w:t>
      </w:r>
      <w:r w:rsidR="00DF7B6D" w:rsidRPr="00297C5B">
        <w:rPr>
          <w:sz w:val="28"/>
          <w:szCs w:val="28"/>
        </w:rPr>
        <w:t xml:space="preserve">dium. </w:t>
      </w:r>
    </w:p>
    <w:p w:rsidR="00016FD2" w:rsidRDefault="00016FD2" w:rsidP="00297C5B">
      <w:pPr>
        <w:spacing w:line="276" w:lineRule="auto"/>
        <w:rPr>
          <w:sz w:val="28"/>
          <w:szCs w:val="28"/>
        </w:rPr>
      </w:pPr>
      <w:r w:rsidRPr="00297C5B">
        <w:rPr>
          <w:sz w:val="28"/>
          <w:szCs w:val="28"/>
        </w:rPr>
        <w:t xml:space="preserve">Das Buch, </w:t>
      </w:r>
      <w:r w:rsidR="00CC542A">
        <w:rPr>
          <w:sz w:val="28"/>
          <w:szCs w:val="28"/>
        </w:rPr>
        <w:t xml:space="preserve">in der 2. Auflage </w:t>
      </w:r>
      <w:r w:rsidR="00297C5B">
        <w:rPr>
          <w:sz w:val="28"/>
          <w:szCs w:val="28"/>
        </w:rPr>
        <w:t>2019</w:t>
      </w:r>
      <w:r w:rsidRPr="00297C5B">
        <w:rPr>
          <w:sz w:val="28"/>
          <w:szCs w:val="28"/>
        </w:rPr>
        <w:t xml:space="preserve"> erschienen, ist kein Buch zum flotten Durchlesen. Man wird sich je nach Bedarf ein Kapitel vornehmen und durcharbeiten</w:t>
      </w:r>
      <w:r w:rsidR="00F40868" w:rsidRPr="00297C5B">
        <w:rPr>
          <w:sz w:val="28"/>
          <w:szCs w:val="28"/>
        </w:rPr>
        <w:t xml:space="preserve">. </w:t>
      </w:r>
    </w:p>
    <w:p w:rsidR="000450C4" w:rsidRPr="00297C5B" w:rsidRDefault="000450C4" w:rsidP="00297C5B">
      <w:pPr>
        <w:spacing w:line="276" w:lineRule="auto"/>
        <w:rPr>
          <w:sz w:val="28"/>
          <w:szCs w:val="28"/>
        </w:rPr>
      </w:pPr>
      <w:r>
        <w:rPr>
          <w:sz w:val="28"/>
          <w:szCs w:val="28"/>
        </w:rPr>
        <w:t>In einem Interview mit Björn Bendig äußerte sich der Mitherausgeber Michael Frass, Universitätsprofessor am Allgemeinen Krankenhaus in Wien, bereits 2010</w:t>
      </w:r>
      <w:r w:rsidR="00F810D8">
        <w:rPr>
          <w:sz w:val="28"/>
          <w:szCs w:val="28"/>
        </w:rPr>
        <w:t xml:space="preserve"> zur homöopathischen Behandlung in der Intensiv- und Notfallmedizin: </w:t>
      </w:r>
    </w:p>
    <w:p w:rsidR="00F40868" w:rsidRDefault="00F40868" w:rsidP="00297C5B">
      <w:pPr>
        <w:pStyle w:val="StandardWeb"/>
        <w:spacing w:line="276" w:lineRule="auto"/>
        <w:rPr>
          <w:rFonts w:asciiTheme="minorHAnsi" w:hAnsiTheme="minorHAnsi"/>
          <w:sz w:val="28"/>
          <w:szCs w:val="28"/>
        </w:rPr>
      </w:pPr>
      <w:r w:rsidRPr="00297C5B">
        <w:rPr>
          <w:rFonts w:asciiTheme="minorHAnsi" w:hAnsiTheme="minorHAnsi"/>
          <w:sz w:val="28"/>
          <w:szCs w:val="28"/>
        </w:rPr>
        <w:t>„Die Intensivmedizin bietet aus meiner Sicht die ideale Kombination aus konventioneller Medizin und Homöopathie, da die Patienten perfekt und permanent überwacht werden. Wenn also die konventionelle Diagnostik und Therapie laufen, dann gibt es keine Situation, in der die Homöopathie nicht eingesetzt werden könnte.“</w:t>
      </w:r>
    </w:p>
    <w:p w:rsidR="00F810D8" w:rsidRPr="00297C5B" w:rsidRDefault="00F810D8" w:rsidP="00297C5B">
      <w:pPr>
        <w:pStyle w:val="StandardWeb"/>
        <w:spacing w:line="276" w:lineRule="auto"/>
        <w:rPr>
          <w:rFonts w:asciiTheme="minorHAnsi" w:hAnsiTheme="minorHAnsi"/>
          <w:sz w:val="28"/>
          <w:szCs w:val="28"/>
        </w:rPr>
      </w:pPr>
      <w:r>
        <w:rPr>
          <w:rFonts w:asciiTheme="minorHAnsi" w:hAnsiTheme="minorHAnsi"/>
          <w:sz w:val="28"/>
          <w:szCs w:val="28"/>
        </w:rPr>
        <w:t xml:space="preserve">Dem Elsevier-Verlag gebührt an dieser Stelle </w:t>
      </w:r>
      <w:r w:rsidR="00B254AC">
        <w:rPr>
          <w:rFonts w:asciiTheme="minorHAnsi" w:hAnsiTheme="minorHAnsi"/>
          <w:sz w:val="28"/>
          <w:szCs w:val="28"/>
        </w:rPr>
        <w:t>Respekt für den Mut</w:t>
      </w:r>
      <w:r>
        <w:rPr>
          <w:rFonts w:asciiTheme="minorHAnsi" w:hAnsiTheme="minorHAnsi"/>
          <w:sz w:val="28"/>
          <w:szCs w:val="28"/>
        </w:rPr>
        <w:t xml:space="preserve">, in diesen schwierigen Zeiten </w:t>
      </w:r>
      <w:r w:rsidR="006A4402">
        <w:rPr>
          <w:rFonts w:asciiTheme="minorHAnsi" w:hAnsiTheme="minorHAnsi"/>
          <w:sz w:val="28"/>
          <w:szCs w:val="28"/>
        </w:rPr>
        <w:t>gerade dieses</w:t>
      </w:r>
      <w:r>
        <w:rPr>
          <w:rFonts w:asciiTheme="minorHAnsi" w:hAnsiTheme="minorHAnsi"/>
          <w:sz w:val="28"/>
          <w:szCs w:val="28"/>
        </w:rPr>
        <w:t xml:space="preserve"> Buch nochmals aufzulegen, das </w:t>
      </w:r>
      <w:r w:rsidR="00B254AC">
        <w:rPr>
          <w:rFonts w:asciiTheme="minorHAnsi" w:hAnsiTheme="minorHAnsi"/>
          <w:sz w:val="28"/>
          <w:szCs w:val="28"/>
        </w:rPr>
        <w:t xml:space="preserve">in </w:t>
      </w:r>
      <w:r>
        <w:rPr>
          <w:rFonts w:asciiTheme="minorHAnsi" w:hAnsiTheme="minorHAnsi"/>
          <w:sz w:val="28"/>
          <w:szCs w:val="28"/>
        </w:rPr>
        <w:t xml:space="preserve">feindlich </w:t>
      </w:r>
      <w:r w:rsidR="00B254AC">
        <w:rPr>
          <w:rFonts w:asciiTheme="minorHAnsi" w:hAnsiTheme="minorHAnsi"/>
          <w:sz w:val="28"/>
          <w:szCs w:val="28"/>
        </w:rPr>
        <w:t>gestimmten Zeiten die</w:t>
      </w:r>
      <w:r>
        <w:rPr>
          <w:rFonts w:asciiTheme="minorHAnsi" w:hAnsiTheme="minorHAnsi"/>
          <w:sz w:val="28"/>
          <w:szCs w:val="28"/>
        </w:rPr>
        <w:t xml:space="preserve"> Gemüter besonders </w:t>
      </w:r>
      <w:r w:rsidR="00092BB8">
        <w:rPr>
          <w:rFonts w:asciiTheme="minorHAnsi" w:hAnsiTheme="minorHAnsi"/>
          <w:sz w:val="28"/>
          <w:szCs w:val="28"/>
        </w:rPr>
        <w:t xml:space="preserve">zu </w:t>
      </w:r>
      <w:r>
        <w:rPr>
          <w:rFonts w:asciiTheme="minorHAnsi" w:hAnsiTheme="minorHAnsi"/>
          <w:sz w:val="28"/>
          <w:szCs w:val="28"/>
        </w:rPr>
        <w:t xml:space="preserve">erhitzen </w:t>
      </w:r>
      <w:r w:rsidR="00092BB8">
        <w:rPr>
          <w:rFonts w:asciiTheme="minorHAnsi" w:hAnsiTheme="minorHAnsi"/>
          <w:sz w:val="28"/>
          <w:szCs w:val="28"/>
        </w:rPr>
        <w:t>ver</w:t>
      </w:r>
      <w:r>
        <w:rPr>
          <w:rFonts w:asciiTheme="minorHAnsi" w:hAnsiTheme="minorHAnsi"/>
          <w:sz w:val="28"/>
          <w:szCs w:val="28"/>
        </w:rPr>
        <w:t xml:space="preserve">mag. </w:t>
      </w:r>
    </w:p>
    <w:p w:rsidR="00F40868" w:rsidRPr="00297C5B" w:rsidRDefault="00F40868" w:rsidP="00297C5B">
      <w:pPr>
        <w:spacing w:line="276" w:lineRule="auto"/>
        <w:rPr>
          <w:sz w:val="28"/>
          <w:szCs w:val="28"/>
        </w:rPr>
      </w:pPr>
    </w:p>
    <w:p w:rsidR="004D5BF2" w:rsidRPr="00297C5B" w:rsidRDefault="004D5BF2" w:rsidP="004D5BF2">
      <w:pPr>
        <w:spacing w:line="276" w:lineRule="auto"/>
        <w:rPr>
          <w:sz w:val="28"/>
          <w:szCs w:val="28"/>
        </w:rPr>
      </w:pPr>
      <w:r>
        <w:rPr>
          <w:sz w:val="28"/>
          <w:szCs w:val="28"/>
        </w:rPr>
        <w:t xml:space="preserve">Michael Frass, Martin Bündner (Hrsg.), </w:t>
      </w:r>
      <w:r w:rsidRPr="00297C5B">
        <w:rPr>
          <w:sz w:val="28"/>
          <w:szCs w:val="28"/>
        </w:rPr>
        <w:t>Homöopathie in der Intensiv- und Notfallmedizin</w:t>
      </w:r>
      <w:r>
        <w:rPr>
          <w:sz w:val="28"/>
          <w:szCs w:val="28"/>
        </w:rPr>
        <w:t>, 2. Auflage 2019, Elsevier Verlag</w:t>
      </w:r>
      <w:r w:rsidR="00461A2A">
        <w:rPr>
          <w:sz w:val="28"/>
          <w:szCs w:val="28"/>
        </w:rPr>
        <w:t>, xx EUR.</w:t>
      </w:r>
      <w:bookmarkStart w:id="0" w:name="_GoBack"/>
      <w:bookmarkEnd w:id="0"/>
    </w:p>
    <w:p w:rsidR="004C0C47" w:rsidRPr="00297C5B" w:rsidRDefault="004C0C47" w:rsidP="00297C5B">
      <w:pPr>
        <w:spacing w:line="276" w:lineRule="auto"/>
        <w:rPr>
          <w:sz w:val="28"/>
          <w:szCs w:val="28"/>
        </w:rPr>
      </w:pPr>
    </w:p>
    <w:sectPr w:rsidR="004C0C47" w:rsidRPr="00297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573E3"/>
    <w:multiLevelType w:val="multilevel"/>
    <w:tmpl w:val="3098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B0"/>
    <w:rsid w:val="00016FD2"/>
    <w:rsid w:val="000450C4"/>
    <w:rsid w:val="00092BB8"/>
    <w:rsid w:val="000A70A2"/>
    <w:rsid w:val="001751C1"/>
    <w:rsid w:val="00297C5B"/>
    <w:rsid w:val="002F0D64"/>
    <w:rsid w:val="003A277A"/>
    <w:rsid w:val="00461A2A"/>
    <w:rsid w:val="004C0C47"/>
    <w:rsid w:val="004D5BF2"/>
    <w:rsid w:val="00525C78"/>
    <w:rsid w:val="00662DDD"/>
    <w:rsid w:val="00667DB0"/>
    <w:rsid w:val="006A4402"/>
    <w:rsid w:val="006C7666"/>
    <w:rsid w:val="00711AD1"/>
    <w:rsid w:val="008C497E"/>
    <w:rsid w:val="00A00723"/>
    <w:rsid w:val="00A61521"/>
    <w:rsid w:val="00B254AC"/>
    <w:rsid w:val="00B72E10"/>
    <w:rsid w:val="00BC1875"/>
    <w:rsid w:val="00C3313C"/>
    <w:rsid w:val="00C81420"/>
    <w:rsid w:val="00CC542A"/>
    <w:rsid w:val="00DB5944"/>
    <w:rsid w:val="00DC061C"/>
    <w:rsid w:val="00DF7B6D"/>
    <w:rsid w:val="00E01466"/>
    <w:rsid w:val="00E43114"/>
    <w:rsid w:val="00EC6E22"/>
    <w:rsid w:val="00F40868"/>
    <w:rsid w:val="00F810D8"/>
    <w:rsid w:val="00F917A0"/>
    <w:rsid w:val="00FB4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9F29"/>
  <w15:chartTrackingRefBased/>
  <w15:docId w15:val="{A8EF21B1-D8BC-403E-8099-7D33EF7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11A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11AD1"/>
    <w:rPr>
      <w:b/>
      <w:bCs/>
    </w:rPr>
  </w:style>
  <w:style w:type="character" w:styleId="Hyperlink">
    <w:name w:val="Hyperlink"/>
    <w:basedOn w:val="Absatz-Standardschriftart"/>
    <w:uiPriority w:val="99"/>
    <w:semiHidden/>
    <w:unhideWhenUsed/>
    <w:rsid w:val="00711AD1"/>
    <w:rPr>
      <w:color w:val="0000FF"/>
      <w:u w:val="single"/>
    </w:rPr>
  </w:style>
  <w:style w:type="character" w:styleId="Hervorhebung">
    <w:name w:val="Emphasis"/>
    <w:basedOn w:val="Absatz-Standardschriftart"/>
    <w:uiPriority w:val="20"/>
    <w:qFormat/>
    <w:rsid w:val="00711AD1"/>
    <w:rPr>
      <w:i/>
      <w:iCs/>
    </w:rPr>
  </w:style>
  <w:style w:type="paragraph" w:styleId="Sprechblasentext">
    <w:name w:val="Balloon Text"/>
    <w:basedOn w:val="Standard"/>
    <w:link w:val="SprechblasentextZchn"/>
    <w:uiPriority w:val="99"/>
    <w:semiHidden/>
    <w:unhideWhenUsed/>
    <w:rsid w:val="00B72E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417">
      <w:bodyDiv w:val="1"/>
      <w:marLeft w:val="0"/>
      <w:marRight w:val="0"/>
      <w:marTop w:val="0"/>
      <w:marBottom w:val="0"/>
      <w:divBdr>
        <w:top w:val="none" w:sz="0" w:space="0" w:color="auto"/>
        <w:left w:val="none" w:sz="0" w:space="0" w:color="auto"/>
        <w:bottom w:val="none" w:sz="0" w:space="0" w:color="auto"/>
        <w:right w:val="none" w:sz="0" w:space="0" w:color="auto"/>
      </w:divBdr>
    </w:div>
    <w:div w:id="294216888">
      <w:bodyDiv w:val="1"/>
      <w:marLeft w:val="0"/>
      <w:marRight w:val="0"/>
      <w:marTop w:val="0"/>
      <w:marBottom w:val="0"/>
      <w:divBdr>
        <w:top w:val="none" w:sz="0" w:space="0" w:color="auto"/>
        <w:left w:val="none" w:sz="0" w:space="0" w:color="auto"/>
        <w:bottom w:val="none" w:sz="0" w:space="0" w:color="auto"/>
        <w:right w:val="none" w:sz="0" w:space="0" w:color="auto"/>
      </w:divBdr>
    </w:div>
    <w:div w:id="349260022">
      <w:bodyDiv w:val="1"/>
      <w:marLeft w:val="0"/>
      <w:marRight w:val="0"/>
      <w:marTop w:val="0"/>
      <w:marBottom w:val="0"/>
      <w:divBdr>
        <w:top w:val="none" w:sz="0" w:space="0" w:color="auto"/>
        <w:left w:val="none" w:sz="0" w:space="0" w:color="auto"/>
        <w:bottom w:val="none" w:sz="0" w:space="0" w:color="auto"/>
        <w:right w:val="none" w:sz="0" w:space="0" w:color="auto"/>
      </w:divBdr>
      <w:divsChild>
        <w:div w:id="123931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4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v.Sanden</dc:creator>
  <cp:keywords/>
  <dc:description/>
  <cp:lastModifiedBy>v.Sanden</cp:lastModifiedBy>
  <cp:revision>26</cp:revision>
  <cp:lastPrinted>2019-10-06T10:21:00Z</cp:lastPrinted>
  <dcterms:created xsi:type="dcterms:W3CDTF">2019-10-06T10:09:00Z</dcterms:created>
  <dcterms:modified xsi:type="dcterms:W3CDTF">2019-10-10T16:12:00Z</dcterms:modified>
</cp:coreProperties>
</file>